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7AC2" w14:textId="77777777" w:rsidR="005C35D1" w:rsidRDefault="00000000">
      <w:pPr>
        <w:pStyle w:val="Cm"/>
        <w:rPr>
          <w:spacing w:val="-2"/>
        </w:rPr>
      </w:pPr>
      <w:r>
        <w:t>Műszaki</w:t>
      </w:r>
      <w:r>
        <w:rPr>
          <w:spacing w:val="-4"/>
        </w:rPr>
        <w:t xml:space="preserve"> </w:t>
      </w:r>
      <w:r>
        <w:rPr>
          <w:spacing w:val="-2"/>
        </w:rPr>
        <w:t>tartalom</w:t>
      </w:r>
    </w:p>
    <w:p w14:paraId="0ED511E5" w14:textId="77777777" w:rsidR="00E54952" w:rsidRDefault="00E54952">
      <w:pPr>
        <w:pStyle w:val="Cm"/>
        <w:rPr>
          <w:u w:val="none"/>
        </w:rPr>
      </w:pPr>
    </w:p>
    <w:p w14:paraId="34EE3B78" w14:textId="27D6BD24" w:rsidR="005C35D1" w:rsidRDefault="00905C33">
      <w:pPr>
        <w:pStyle w:val="Cm"/>
        <w:spacing w:before="187"/>
        <w:ind w:left="4"/>
      </w:pPr>
      <w:r>
        <w:t xml:space="preserve">Nyíregyháza R8890 lakópark </w:t>
      </w:r>
      <w:r w:rsidR="00E25B07">
        <w:t>125</w:t>
      </w:r>
      <w:r>
        <w:t xml:space="preserve"> m2 lakóegység</w:t>
      </w:r>
    </w:p>
    <w:p w14:paraId="75E2C285" w14:textId="77777777" w:rsidR="00E54952" w:rsidRDefault="00E54952">
      <w:pPr>
        <w:pStyle w:val="Cm"/>
        <w:spacing w:before="187"/>
        <w:ind w:left="4"/>
        <w:rPr>
          <w:u w:val="none"/>
        </w:rPr>
      </w:pPr>
    </w:p>
    <w:p w14:paraId="7DE08F9F" w14:textId="290AB017" w:rsidR="005C35D1" w:rsidRPr="00362763" w:rsidRDefault="00000000" w:rsidP="00362763">
      <w:pPr>
        <w:spacing w:before="181"/>
        <w:ind w:left="140"/>
        <w:rPr>
          <w:b/>
        </w:rPr>
      </w:pPr>
      <w:r>
        <w:rPr>
          <w:u w:val="single"/>
        </w:rPr>
        <w:t>Főfalazat</w:t>
      </w:r>
      <w:r>
        <w:rPr>
          <w:spacing w:val="-1"/>
          <w:u w:val="single"/>
        </w:rPr>
        <w:t xml:space="preserve"> </w:t>
      </w:r>
      <w:r>
        <w:rPr>
          <w:u w:val="single"/>
        </w:rPr>
        <w:t>és</w:t>
      </w:r>
      <w:r>
        <w:rPr>
          <w:spacing w:val="-3"/>
          <w:u w:val="single"/>
        </w:rPr>
        <w:t xml:space="preserve"> </w:t>
      </w:r>
      <w:r>
        <w:rPr>
          <w:u w:val="single"/>
        </w:rPr>
        <w:t>színezés:</w:t>
      </w:r>
      <w:r>
        <w:rPr>
          <w:spacing w:val="-1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</w:rPr>
        <w:t>cm</w:t>
      </w:r>
      <w:r>
        <w:rPr>
          <w:b/>
          <w:spacing w:val="-2"/>
        </w:rPr>
        <w:t xml:space="preserve"> </w:t>
      </w:r>
      <w:r>
        <w:rPr>
          <w:b/>
        </w:rPr>
        <w:t>Porotherm</w:t>
      </w:r>
      <w:r>
        <w:rPr>
          <w:b/>
          <w:spacing w:val="-2"/>
        </w:rPr>
        <w:t xml:space="preserve"> </w:t>
      </w:r>
      <w:r w:rsidR="00251347">
        <w:rPr>
          <w:b/>
        </w:rPr>
        <w:t>NF</w:t>
      </w:r>
      <w:r w:rsidR="00E54952">
        <w:rPr>
          <w:b/>
        </w:rPr>
        <w:t>-</w:t>
      </w:r>
      <w:r w:rsidR="00251347">
        <w:rPr>
          <w:b/>
        </w:rPr>
        <w:t>rapid</w:t>
      </w:r>
      <w:r w:rsidR="00A32DBB">
        <w:rPr>
          <w:b/>
        </w:rPr>
        <w:t>, csiszolt tégla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15</w:t>
      </w:r>
      <w:r>
        <w:rPr>
          <w:b/>
          <w:spacing w:val="-4"/>
        </w:rPr>
        <w:t xml:space="preserve"> </w:t>
      </w:r>
      <w:r>
        <w:rPr>
          <w:b/>
        </w:rPr>
        <w:t>cm</w:t>
      </w:r>
      <w:r>
        <w:rPr>
          <w:b/>
          <w:spacing w:val="-2"/>
        </w:rPr>
        <w:t xml:space="preserve"> </w:t>
      </w:r>
      <w:r>
        <w:rPr>
          <w:b/>
        </w:rPr>
        <w:t>es</w:t>
      </w:r>
      <w:r>
        <w:rPr>
          <w:b/>
          <w:spacing w:val="-1"/>
        </w:rPr>
        <w:t xml:space="preserve"> </w:t>
      </w:r>
      <w:r w:rsidR="00E54952">
        <w:rPr>
          <w:b/>
          <w:spacing w:val="-1"/>
        </w:rPr>
        <w:t xml:space="preserve">grafitos </w:t>
      </w:r>
      <w:r>
        <w:rPr>
          <w:b/>
        </w:rPr>
        <w:t>polisztirol</w:t>
      </w:r>
      <w:r>
        <w:rPr>
          <w:b/>
          <w:spacing w:val="-2"/>
        </w:rPr>
        <w:t xml:space="preserve"> </w:t>
      </w:r>
      <w:r>
        <w:rPr>
          <w:b/>
        </w:rPr>
        <w:t>homlokzat</w:t>
      </w:r>
      <w:r>
        <w:rPr>
          <w:b/>
          <w:spacing w:val="-4"/>
        </w:rPr>
        <w:t xml:space="preserve"> </w:t>
      </w:r>
      <w:r>
        <w:rPr>
          <w:b/>
        </w:rPr>
        <w:t>szigeteléssel,</w:t>
      </w:r>
      <w:r>
        <w:rPr>
          <w:b/>
          <w:spacing w:val="1"/>
        </w:rPr>
        <w:t xml:space="preserve"> </w:t>
      </w:r>
      <w:r w:rsidR="00E54952">
        <w:rPr>
          <w:b/>
          <w:spacing w:val="1"/>
        </w:rPr>
        <w:t xml:space="preserve">szilikonbázisú </w:t>
      </w:r>
      <w:r>
        <w:rPr>
          <w:b/>
        </w:rPr>
        <w:t>1.5</w:t>
      </w:r>
      <w:r>
        <w:rPr>
          <w:b/>
          <w:spacing w:val="-3"/>
        </w:rPr>
        <w:t xml:space="preserve"> </w:t>
      </w:r>
      <w:r>
        <w:rPr>
          <w:b/>
        </w:rPr>
        <w:t>mm-</w:t>
      </w:r>
      <w:r>
        <w:rPr>
          <w:b/>
          <w:spacing w:val="-5"/>
        </w:rPr>
        <w:t>es</w:t>
      </w:r>
      <w:r w:rsidR="00362763">
        <w:rPr>
          <w:b/>
          <w:spacing w:val="-5"/>
        </w:rPr>
        <w:t xml:space="preserve"> </w:t>
      </w:r>
      <w:r w:rsidRPr="00362763">
        <w:rPr>
          <w:b/>
          <w:bCs/>
        </w:rPr>
        <w:t>gördülő</w:t>
      </w:r>
      <w:r w:rsidRPr="00362763">
        <w:rPr>
          <w:b/>
          <w:bCs/>
          <w:spacing w:val="-6"/>
        </w:rPr>
        <w:t xml:space="preserve"> </w:t>
      </w:r>
      <w:r w:rsidRPr="00362763">
        <w:rPr>
          <w:b/>
          <w:bCs/>
        </w:rPr>
        <w:t>szemcsés</w:t>
      </w:r>
      <w:r w:rsidRPr="00362763">
        <w:rPr>
          <w:b/>
          <w:bCs/>
          <w:spacing w:val="-1"/>
        </w:rPr>
        <w:t xml:space="preserve"> </w:t>
      </w:r>
      <w:r w:rsidRPr="00362763">
        <w:rPr>
          <w:b/>
          <w:bCs/>
        </w:rPr>
        <w:t>nemes</w:t>
      </w:r>
      <w:r w:rsidRPr="00362763">
        <w:rPr>
          <w:b/>
          <w:bCs/>
          <w:spacing w:val="-5"/>
        </w:rPr>
        <w:t xml:space="preserve"> </w:t>
      </w:r>
      <w:r w:rsidRPr="00362763">
        <w:rPr>
          <w:b/>
          <w:bCs/>
        </w:rPr>
        <w:t>vakolat,</w:t>
      </w:r>
      <w:r w:rsidRPr="00362763">
        <w:rPr>
          <w:b/>
          <w:bCs/>
          <w:spacing w:val="-4"/>
        </w:rPr>
        <w:t xml:space="preserve"> </w:t>
      </w:r>
      <w:r w:rsidRPr="00362763">
        <w:rPr>
          <w:b/>
          <w:bCs/>
        </w:rPr>
        <w:t>fehér</w:t>
      </w:r>
      <w:r w:rsidR="00A32DBB" w:rsidRPr="00362763">
        <w:rPr>
          <w:b/>
          <w:bCs/>
          <w:spacing w:val="-1"/>
        </w:rPr>
        <w:t xml:space="preserve">, antracit </w:t>
      </w:r>
      <w:r w:rsidRPr="00362763">
        <w:rPr>
          <w:b/>
          <w:bCs/>
          <w:spacing w:val="-2"/>
        </w:rPr>
        <w:t>színben</w:t>
      </w:r>
      <w:r>
        <w:rPr>
          <w:spacing w:val="-2"/>
        </w:rPr>
        <w:t>.</w:t>
      </w:r>
      <w:r w:rsidR="00D249AD">
        <w:rPr>
          <w:spacing w:val="-2"/>
        </w:rPr>
        <w:t xml:space="preserve"> belmagasság 2, 80 m</w:t>
      </w:r>
      <w:r w:rsidR="00D249AD">
        <w:rPr>
          <w:spacing w:val="-2"/>
        </w:rPr>
        <w:tab/>
      </w:r>
    </w:p>
    <w:p w14:paraId="2AF2D37B" w14:textId="6F4F984D" w:rsidR="005C35D1" w:rsidRDefault="00000000">
      <w:pPr>
        <w:spacing w:before="181"/>
        <w:ind w:left="140"/>
        <w:rPr>
          <w:b/>
        </w:rPr>
      </w:pPr>
      <w:r>
        <w:rPr>
          <w:u w:val="single"/>
        </w:rPr>
        <w:t>Lakás</w:t>
      </w:r>
      <w:r>
        <w:rPr>
          <w:spacing w:val="-7"/>
          <w:u w:val="single"/>
        </w:rPr>
        <w:t xml:space="preserve"> </w:t>
      </w:r>
      <w:r>
        <w:rPr>
          <w:u w:val="single"/>
        </w:rPr>
        <w:t>elválasztó</w:t>
      </w:r>
      <w:r>
        <w:rPr>
          <w:spacing w:val="-2"/>
          <w:u w:val="single"/>
        </w:rPr>
        <w:t xml:space="preserve"> </w:t>
      </w:r>
      <w:r>
        <w:rPr>
          <w:u w:val="single"/>
        </w:rPr>
        <w:t>tartó</w:t>
      </w:r>
      <w:r>
        <w:rPr>
          <w:spacing w:val="-2"/>
          <w:u w:val="single"/>
        </w:rPr>
        <w:t xml:space="preserve"> </w:t>
      </w:r>
      <w:r>
        <w:rPr>
          <w:u w:val="single"/>
        </w:rPr>
        <w:t>falazat:</w:t>
      </w:r>
      <w:r>
        <w:rPr>
          <w:spacing w:val="-1"/>
        </w:rPr>
        <w:t xml:space="preserve"> </w:t>
      </w:r>
      <w:r w:rsidR="00905C33">
        <w:rPr>
          <w:b/>
        </w:rPr>
        <w:t>Garázzsal összeépített</w:t>
      </w:r>
    </w:p>
    <w:p w14:paraId="51A15897" w14:textId="49D33D67" w:rsidR="00930216" w:rsidRDefault="00930216">
      <w:pPr>
        <w:spacing w:before="181"/>
        <w:ind w:left="140"/>
        <w:rPr>
          <w:b/>
        </w:rPr>
      </w:pPr>
      <w:r>
        <w:rPr>
          <w:u w:val="single"/>
        </w:rPr>
        <w:t>Tetőszerkezet, fedés, ereszcsatorna:</w:t>
      </w:r>
      <w:r>
        <w:rPr>
          <w:b/>
        </w:rPr>
        <w:t xml:space="preserve"> fa tetőszerkezet, beton cserép fedés, festett alu bádogozás</w:t>
      </w:r>
    </w:p>
    <w:p w14:paraId="14118B6C" w14:textId="4EFEC0C1" w:rsidR="00930216" w:rsidRDefault="00930216">
      <w:pPr>
        <w:spacing w:before="181"/>
        <w:ind w:left="140"/>
        <w:rPr>
          <w:b/>
        </w:rPr>
      </w:pPr>
      <w:r>
        <w:rPr>
          <w:u w:val="single"/>
        </w:rPr>
        <w:t>Födém, padlásszigetelés:</w:t>
      </w:r>
      <w:r>
        <w:rPr>
          <w:b/>
        </w:rPr>
        <w:t xml:space="preserve"> fa födémszerkezet, gipszkarton álmennyezet, 30 cm padlásszigetelés </w:t>
      </w:r>
    </w:p>
    <w:p w14:paraId="097A0F9F" w14:textId="19D0A135" w:rsidR="00930216" w:rsidRDefault="00930216">
      <w:pPr>
        <w:spacing w:before="181"/>
        <w:ind w:left="140"/>
        <w:rPr>
          <w:b/>
        </w:rPr>
      </w:pPr>
      <w:r>
        <w:rPr>
          <w:u w:val="single"/>
        </w:rPr>
        <w:t>Aljzat:</w:t>
      </w:r>
      <w:r>
        <w:rPr>
          <w:b/>
        </w:rPr>
        <w:t xml:space="preserve"> vízzáró szigetelés, hőszigetelés, beton aljzat.</w:t>
      </w:r>
    </w:p>
    <w:p w14:paraId="40A7CDF4" w14:textId="1BFB5FCA" w:rsidR="005C35D1" w:rsidRDefault="00000000">
      <w:pPr>
        <w:spacing w:before="182"/>
        <w:ind w:left="140"/>
        <w:rPr>
          <w:b/>
        </w:rPr>
      </w:pPr>
      <w:r>
        <w:rPr>
          <w:u w:val="single"/>
        </w:rPr>
        <w:t>Homlokzati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nyílászáró:</w:t>
      </w:r>
      <w: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rétegű</w:t>
      </w:r>
      <w:r>
        <w:rPr>
          <w:b/>
          <w:spacing w:val="-2"/>
        </w:rPr>
        <w:t xml:space="preserve"> </w:t>
      </w:r>
      <w:r w:rsidR="00A32DBB">
        <w:rPr>
          <w:b/>
          <w:spacing w:val="-2"/>
        </w:rPr>
        <w:t xml:space="preserve">fokozottan hőszigetelt </w:t>
      </w:r>
      <w:r>
        <w:rPr>
          <w:b/>
        </w:rPr>
        <w:t>üveg,</w:t>
      </w:r>
      <w:r>
        <w:rPr>
          <w:b/>
          <w:spacing w:val="-4"/>
        </w:rPr>
        <w:t xml:space="preserve"> </w:t>
      </w:r>
      <w:r w:rsidR="00E54952">
        <w:rPr>
          <w:b/>
          <w:spacing w:val="-4"/>
        </w:rPr>
        <w:t xml:space="preserve">6 kamrás szerkezet, </w:t>
      </w:r>
      <w:r>
        <w:rPr>
          <w:b/>
        </w:rPr>
        <w:t>műanyag</w:t>
      </w:r>
      <w:r>
        <w:rPr>
          <w:b/>
          <w:spacing w:val="1"/>
        </w:rPr>
        <w:t xml:space="preserve"> </w:t>
      </w:r>
      <w:r>
        <w:rPr>
          <w:b/>
        </w:rPr>
        <w:t>profil,</w:t>
      </w:r>
      <w:r>
        <w:rPr>
          <w:b/>
          <w:spacing w:val="-5"/>
        </w:rPr>
        <w:t xml:space="preserve"> </w:t>
      </w:r>
      <w:r>
        <w:rPr>
          <w:b/>
        </w:rPr>
        <w:t>kívül</w:t>
      </w:r>
      <w:r w:rsidR="00A32DBB">
        <w:rPr>
          <w:b/>
        </w:rPr>
        <w:t xml:space="preserve"> belül fehér színben</w:t>
      </w:r>
      <w:r>
        <w:rPr>
          <w:b/>
        </w:rPr>
        <w:t>.</w:t>
      </w:r>
      <w:r w:rsidR="00A32DBB">
        <w:rPr>
          <w:b/>
        </w:rPr>
        <w:t xml:space="preserve"> </w:t>
      </w:r>
      <w:r w:rsidR="009F3ADE">
        <w:rPr>
          <w:b/>
        </w:rPr>
        <w:t>Bukó nyíló kivitelben.</w:t>
      </w:r>
    </w:p>
    <w:p w14:paraId="0094F34B" w14:textId="43CB0FDB" w:rsidR="005C35D1" w:rsidRDefault="00000000">
      <w:pPr>
        <w:spacing w:before="181"/>
        <w:ind w:left="140"/>
        <w:rPr>
          <w:b/>
        </w:rPr>
      </w:pPr>
      <w:r>
        <w:rPr>
          <w:u w:val="single"/>
        </w:rPr>
        <w:t>Lakásbejárati</w:t>
      </w:r>
      <w:r>
        <w:rPr>
          <w:spacing w:val="-6"/>
          <w:u w:val="single"/>
        </w:rPr>
        <w:t xml:space="preserve"> </w:t>
      </w:r>
      <w:r>
        <w:rPr>
          <w:u w:val="single"/>
        </w:rPr>
        <w:t>ajtók:</w:t>
      </w:r>
      <w:r>
        <w:t xml:space="preserve"> </w:t>
      </w:r>
      <w:r>
        <w:rPr>
          <w:b/>
        </w:rPr>
        <w:t>műanyag</w:t>
      </w:r>
      <w:r>
        <w:rPr>
          <w:b/>
          <w:spacing w:val="-1"/>
        </w:rPr>
        <w:t xml:space="preserve"> </w:t>
      </w:r>
      <w:r>
        <w:rPr>
          <w:b/>
        </w:rPr>
        <w:t>hőszigetelt</w:t>
      </w:r>
      <w:r>
        <w:rPr>
          <w:b/>
          <w:spacing w:val="-3"/>
        </w:rPr>
        <w:t xml:space="preserve"> </w:t>
      </w:r>
      <w:r>
        <w:rPr>
          <w:b/>
        </w:rPr>
        <w:t>ajtó,</w:t>
      </w:r>
      <w:r>
        <w:rPr>
          <w:b/>
          <w:spacing w:val="-8"/>
        </w:rPr>
        <w:t xml:space="preserve"> </w:t>
      </w:r>
      <w:r w:rsidR="00A32DBB">
        <w:rPr>
          <w:b/>
        </w:rPr>
        <w:t>fehér színben</w:t>
      </w:r>
      <w:r w:rsidR="00E54952">
        <w:rPr>
          <w:b/>
          <w:spacing w:val="-2"/>
        </w:rPr>
        <w:t>, Mabisz minősített.</w:t>
      </w:r>
    </w:p>
    <w:p w14:paraId="6D463C11" w14:textId="757B0CE8" w:rsidR="005C35D1" w:rsidRDefault="00000000">
      <w:pPr>
        <w:pStyle w:val="Szvegtrzs"/>
        <w:spacing w:before="182" w:line="259" w:lineRule="auto"/>
        <w:ind w:right="134"/>
        <w:jc w:val="both"/>
      </w:pPr>
      <w:r>
        <w:rPr>
          <w:b w:val="0"/>
          <w:u w:val="single"/>
        </w:rPr>
        <w:t>Beltéri nyílászárók</w:t>
      </w:r>
      <w:r>
        <w:rPr>
          <w:u w:val="single"/>
        </w:rPr>
        <w:t>:</w:t>
      </w:r>
      <w:r>
        <w:t xml:space="preserve"> Lakásonként, utólagos behelyezésű</w:t>
      </w:r>
      <w:r w:rsidR="00E54952">
        <w:t xml:space="preserve"> UTH tokos</w:t>
      </w:r>
      <w:r>
        <w:t xml:space="preserve"> ajtó lakásonként meghatározott darab,</w:t>
      </w:r>
      <w:r w:rsidR="00A32DBB">
        <w:t xml:space="preserve"> </w:t>
      </w:r>
      <w:r w:rsidR="009F3ADE">
        <w:t xml:space="preserve">tele kivitelben, </w:t>
      </w:r>
      <w:r w:rsidR="00A32DBB">
        <w:t>kilincsel együtt</w:t>
      </w:r>
      <w:r w:rsidR="009F3ADE">
        <w:t>. küszöb nélküli kivitel. fehér, juhar, tölgy választható színben. bruttó 100.000.Ft/db árig</w:t>
      </w:r>
      <w:r w:rsidR="00930216">
        <w:t xml:space="preserve"> kilincsel együtt</w:t>
      </w:r>
    </w:p>
    <w:p w14:paraId="2E94B20F" w14:textId="28D7535D" w:rsidR="005C35D1" w:rsidRDefault="00000000" w:rsidP="00A32DBB">
      <w:pPr>
        <w:spacing w:before="182"/>
        <w:ind w:left="140"/>
        <w:rPr>
          <w:b/>
        </w:rPr>
      </w:pPr>
      <w:r>
        <w:rPr>
          <w:u w:val="single"/>
        </w:rPr>
        <w:t>Villamossági</w:t>
      </w:r>
      <w:r>
        <w:rPr>
          <w:spacing w:val="-3"/>
          <w:u w:val="single"/>
        </w:rPr>
        <w:t xml:space="preserve"> </w:t>
      </w:r>
      <w:r>
        <w:rPr>
          <w:u w:val="single"/>
        </w:rPr>
        <w:t>kiállások:</w:t>
      </w:r>
      <w:r>
        <w:rPr>
          <w:spacing w:val="-1"/>
        </w:rPr>
        <w:t xml:space="preserve"> </w:t>
      </w:r>
      <w:r w:rsidR="00A32DBB">
        <w:rPr>
          <w:b/>
        </w:rPr>
        <w:t xml:space="preserve">A lakóépületben </w:t>
      </w:r>
      <w:r w:rsidR="009F3ADE">
        <w:rPr>
          <w:b/>
        </w:rPr>
        <w:t>70</w:t>
      </w:r>
      <w:r w:rsidR="00A32DBB">
        <w:rPr>
          <w:b/>
        </w:rPr>
        <w:t xml:space="preserve"> db kiállás biztosítása, gyenge áramnak világító </w:t>
      </w:r>
      <w:r w:rsidR="00E54952">
        <w:rPr>
          <w:b/>
        </w:rPr>
        <w:t xml:space="preserve">berendezéseknek. </w:t>
      </w:r>
      <w:r w:rsidR="00930216">
        <w:rPr>
          <w:b/>
        </w:rPr>
        <w:t>V</w:t>
      </w:r>
      <w:r w:rsidR="00E54952">
        <w:rPr>
          <w:b/>
        </w:rPr>
        <w:t xml:space="preserve">édőcsövezések beltérben egyedileg. </w:t>
      </w:r>
      <w:r w:rsidR="003A558C">
        <w:rPr>
          <w:b/>
        </w:rPr>
        <w:t>Legrand kapcsolók dugaljak (valena tíousban) fehér színben.</w:t>
      </w:r>
    </w:p>
    <w:p w14:paraId="2386E119" w14:textId="7581F6EC" w:rsidR="005C35D1" w:rsidRDefault="00000000">
      <w:pPr>
        <w:spacing w:before="182"/>
        <w:ind w:left="140"/>
        <w:rPr>
          <w:b/>
        </w:rPr>
      </w:pPr>
      <w:r>
        <w:rPr>
          <w:u w:val="single"/>
        </w:rPr>
        <w:t>Fal</w:t>
      </w:r>
      <w:r w:rsidR="00A32DBB">
        <w:rPr>
          <w:u w:val="single"/>
        </w:rPr>
        <w:t>burkolat</w:t>
      </w:r>
      <w:r>
        <w:rPr>
          <w:spacing w:val="-5"/>
          <w:u w:val="single"/>
        </w:rPr>
        <w:t xml:space="preserve"> </w:t>
      </w:r>
      <w:r>
        <w:rPr>
          <w:u w:val="single"/>
        </w:rPr>
        <w:t>és</w:t>
      </w:r>
      <w:r>
        <w:rPr>
          <w:spacing w:val="-5"/>
          <w:u w:val="single"/>
        </w:rPr>
        <w:t xml:space="preserve"> </w:t>
      </w:r>
      <w:r>
        <w:rPr>
          <w:u w:val="single"/>
        </w:rPr>
        <w:t>padlólap</w:t>
      </w:r>
      <w:r>
        <w:rPr>
          <w:spacing w:val="-5"/>
          <w:u w:val="single"/>
        </w:rPr>
        <w:t xml:space="preserve"> </w:t>
      </w:r>
      <w:r>
        <w:rPr>
          <w:u w:val="single"/>
        </w:rPr>
        <w:t>burkolat</w:t>
      </w:r>
      <w:r w:rsidR="00A32DBB">
        <w:rPr>
          <w:u w:val="single"/>
        </w:rPr>
        <w:t>, meleg burkolat</w:t>
      </w:r>
      <w:r>
        <w:rPr>
          <w:spacing w:val="-1"/>
          <w:u w:val="single"/>
        </w:rPr>
        <w:t xml:space="preserve"> </w:t>
      </w:r>
      <w:r>
        <w:rPr>
          <w:u w:val="single"/>
        </w:rPr>
        <w:t>(hideg</w:t>
      </w:r>
      <w:r>
        <w:rPr>
          <w:spacing w:val="-2"/>
          <w:u w:val="single"/>
        </w:rPr>
        <w:t xml:space="preserve"> </w:t>
      </w:r>
      <w:r>
        <w:rPr>
          <w:u w:val="single"/>
        </w:rPr>
        <w:t>burkolat):</w:t>
      </w:r>
      <w:r>
        <w:rPr>
          <w:spacing w:val="-2"/>
        </w:rPr>
        <w:t xml:space="preserve"> </w:t>
      </w:r>
      <w:r w:rsidR="00A32DBB">
        <w:rPr>
          <w:b/>
        </w:rPr>
        <w:t xml:space="preserve">bruttó </w:t>
      </w:r>
      <w:r w:rsidR="009F3ADE">
        <w:rPr>
          <w:b/>
        </w:rPr>
        <w:t>7</w:t>
      </w:r>
      <w:r w:rsidR="00A32DBB">
        <w:rPr>
          <w:b/>
        </w:rPr>
        <w:t>.000.</w:t>
      </w:r>
      <w:r>
        <w:rPr>
          <w:b/>
        </w:rPr>
        <w:t xml:space="preserve"> </w:t>
      </w:r>
      <w:r>
        <w:rPr>
          <w:b/>
          <w:spacing w:val="-2"/>
        </w:rPr>
        <w:t>Ft/m2</w:t>
      </w:r>
      <w:r w:rsidR="00A32DBB">
        <w:rPr>
          <w:b/>
          <w:spacing w:val="-2"/>
        </w:rPr>
        <w:t xml:space="preserve"> tervezés során egységesítve a teljes m2.</w:t>
      </w:r>
      <w:r w:rsidR="009F3ADE">
        <w:rPr>
          <w:b/>
          <w:spacing w:val="-2"/>
        </w:rPr>
        <w:t xml:space="preserve"> fürdőszoba 180 cm magasságig csempe burkolat, és kerámia padlóburkolat, szobák laminált parketta, egyéb helységek padlóburkolat</w:t>
      </w:r>
    </w:p>
    <w:p w14:paraId="3C108FD5" w14:textId="50F0AEEF" w:rsidR="005C35D1" w:rsidRDefault="00000000">
      <w:pPr>
        <w:spacing w:before="160"/>
        <w:ind w:left="140"/>
        <w:rPr>
          <w:b/>
        </w:rPr>
      </w:pPr>
      <w:r>
        <w:rPr>
          <w:u w:val="single"/>
        </w:rPr>
        <w:t>Konyha</w:t>
      </w:r>
      <w:r>
        <w:rPr>
          <w:spacing w:val="-6"/>
          <w:u w:val="single"/>
        </w:rPr>
        <w:t xml:space="preserve"> </w:t>
      </w:r>
      <w:r>
        <w:rPr>
          <w:u w:val="single"/>
        </w:rPr>
        <w:t>fali</w:t>
      </w:r>
      <w:r>
        <w:rPr>
          <w:spacing w:val="-2"/>
          <w:u w:val="single"/>
        </w:rPr>
        <w:t xml:space="preserve"> </w:t>
      </w:r>
      <w:r>
        <w:rPr>
          <w:u w:val="single"/>
        </w:rPr>
        <w:t>burkolat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szekrény</w:t>
      </w:r>
      <w:r>
        <w:rPr>
          <w:b/>
          <w:spacing w:val="-2"/>
        </w:rPr>
        <w:t xml:space="preserve"> </w:t>
      </w:r>
      <w:r>
        <w:rPr>
          <w:b/>
        </w:rPr>
        <w:t>közötti</w:t>
      </w:r>
      <w:r>
        <w:rPr>
          <w:b/>
          <w:spacing w:val="-1"/>
        </w:rPr>
        <w:t xml:space="preserve"> </w:t>
      </w:r>
      <w:r w:rsidR="007F1A83">
        <w:rPr>
          <w:b/>
        </w:rPr>
        <w:t>csempe</w:t>
      </w:r>
      <w:r w:rsidR="007F1A83">
        <w:rPr>
          <w:b/>
          <w:spacing w:val="-3"/>
        </w:rPr>
        <w:t>burkolat</w:t>
      </w:r>
      <w:r>
        <w:rPr>
          <w:b/>
          <w:spacing w:val="-8"/>
        </w:rPr>
        <w:t xml:space="preserve"> </w:t>
      </w:r>
      <w:r>
        <w:rPr>
          <w:b/>
        </w:rPr>
        <w:t>60</w:t>
      </w:r>
      <w:r>
        <w:rPr>
          <w:b/>
          <w:spacing w:val="-4"/>
        </w:rPr>
        <w:t xml:space="preserve"> </w:t>
      </w:r>
      <w:r>
        <w:rPr>
          <w:b/>
        </w:rPr>
        <w:t>cm</w:t>
      </w:r>
      <w:r>
        <w:rPr>
          <w:b/>
          <w:spacing w:val="-3"/>
        </w:rPr>
        <w:t xml:space="preserve"> </w:t>
      </w:r>
      <w:r>
        <w:rPr>
          <w:b/>
        </w:rPr>
        <w:t>szélességben</w:t>
      </w:r>
      <w:r>
        <w:rPr>
          <w:b/>
          <w:spacing w:val="5"/>
        </w:rPr>
        <w:t xml:space="preserve"> </w:t>
      </w:r>
      <w:r w:rsidR="00A32DBB">
        <w:rPr>
          <w:b/>
        </w:rPr>
        <w:t xml:space="preserve">bruttó </w:t>
      </w:r>
      <w:r w:rsidR="009F3ADE">
        <w:rPr>
          <w:b/>
        </w:rPr>
        <w:t>7</w:t>
      </w:r>
      <w:r w:rsidR="00A32DBB">
        <w:rPr>
          <w:b/>
        </w:rPr>
        <w:t>.000.</w:t>
      </w:r>
      <w:r>
        <w:rPr>
          <w:b/>
          <w:spacing w:val="-4"/>
        </w:rPr>
        <w:t xml:space="preserve"> </w:t>
      </w:r>
      <w:r>
        <w:rPr>
          <w:b/>
        </w:rPr>
        <w:t>Ft/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m2.</w:t>
      </w:r>
    </w:p>
    <w:p w14:paraId="33B127F0" w14:textId="13B49E69" w:rsidR="005C35D1" w:rsidRDefault="00000000">
      <w:pPr>
        <w:spacing w:before="182"/>
        <w:ind w:left="140"/>
        <w:rPr>
          <w:b/>
        </w:rPr>
      </w:pPr>
      <w:r>
        <w:rPr>
          <w:u w:val="single"/>
        </w:rPr>
        <w:t>Fűtés:</w:t>
      </w:r>
      <w:r>
        <w:rPr>
          <w:spacing w:val="-4"/>
        </w:rPr>
        <w:t xml:space="preserve"> </w:t>
      </w:r>
      <w:r>
        <w:rPr>
          <w:b/>
        </w:rPr>
        <w:t>Padló</w:t>
      </w:r>
      <w:r w:rsidR="007F1A83">
        <w:rPr>
          <w:b/>
        </w:rPr>
        <w:t xml:space="preserve"> és r</w:t>
      </w:r>
      <w:r>
        <w:rPr>
          <w:b/>
        </w:rPr>
        <w:t>adiátor</w:t>
      </w:r>
      <w:r>
        <w:rPr>
          <w:b/>
          <w:spacing w:val="-1"/>
        </w:rPr>
        <w:t xml:space="preserve"> </w:t>
      </w:r>
      <w:r>
        <w:rPr>
          <w:b/>
        </w:rPr>
        <w:t>igény</w:t>
      </w:r>
      <w:r>
        <w:rPr>
          <w:b/>
          <w:spacing w:val="-3"/>
        </w:rPr>
        <w:t xml:space="preserve"> </w:t>
      </w:r>
      <w:r>
        <w:rPr>
          <w:b/>
        </w:rPr>
        <w:t>szerint-szerződéskötéskor</w:t>
      </w:r>
      <w:r>
        <w:rPr>
          <w:b/>
          <w:spacing w:val="-5"/>
        </w:rPr>
        <w:t xml:space="preserve"> </w:t>
      </w:r>
      <w:r>
        <w:rPr>
          <w:b/>
        </w:rPr>
        <w:t>tisztázandó,</w:t>
      </w:r>
      <w:r>
        <w:rPr>
          <w:b/>
          <w:spacing w:val="-3"/>
        </w:rPr>
        <w:t xml:space="preserve"> </w:t>
      </w:r>
      <w:r w:rsidRPr="00E54952">
        <w:rPr>
          <w:b/>
          <w:bCs/>
        </w:rPr>
        <w:t>fürdőszobában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db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törölköző</w:t>
      </w:r>
    </w:p>
    <w:p w14:paraId="2E55F9B5" w14:textId="2C84A181" w:rsidR="005C35D1" w:rsidRDefault="00000000">
      <w:pPr>
        <w:pStyle w:val="Szvegtrzs"/>
      </w:pPr>
      <w:r>
        <w:t>szárító,</w:t>
      </w:r>
      <w:r>
        <w:rPr>
          <w:spacing w:val="-3"/>
        </w:rPr>
        <w:t xml:space="preserve"> </w:t>
      </w:r>
      <w:r w:rsidR="00A32DBB">
        <w:rPr>
          <w:spacing w:val="-3"/>
        </w:rPr>
        <w:t xml:space="preserve">radiátor. </w:t>
      </w:r>
    </w:p>
    <w:p w14:paraId="041AC6C3" w14:textId="040215E9" w:rsidR="005C35D1" w:rsidRDefault="00000000" w:rsidP="007F1A83">
      <w:pPr>
        <w:pStyle w:val="Szvegtrzs"/>
        <w:spacing w:before="182"/>
      </w:pPr>
      <w:r>
        <w:rPr>
          <w:b w:val="0"/>
          <w:u w:val="single"/>
        </w:rPr>
        <w:t>Fűtés-hűtés:</w:t>
      </w:r>
      <w:r>
        <w:rPr>
          <w:b w:val="0"/>
          <w:spacing w:val="-2"/>
        </w:rPr>
        <w:t xml:space="preserve"> </w:t>
      </w:r>
      <w:r w:rsidR="009F3ADE">
        <w:t xml:space="preserve">Egyedi kondenzációs gázkazán fűtés és melegvíz ellátás biztosítására </w:t>
      </w:r>
      <w:r w:rsidR="00251347">
        <w:t xml:space="preserve">inverteres </w:t>
      </w:r>
      <w:r w:rsidR="00D249AD">
        <w:t>klíma kiegészítéssel</w:t>
      </w:r>
    </w:p>
    <w:p w14:paraId="1247E974" w14:textId="060E250F" w:rsidR="005C35D1" w:rsidRDefault="00000000">
      <w:pPr>
        <w:pStyle w:val="Szvegtrzs"/>
        <w:spacing w:before="182"/>
      </w:pPr>
      <w:r>
        <w:rPr>
          <w:b w:val="0"/>
          <w:u w:val="single"/>
        </w:rPr>
        <w:t>Csaptelek:</w:t>
      </w:r>
      <w:r>
        <w:rPr>
          <w:b w:val="0"/>
          <w:spacing w:val="-1"/>
        </w:rPr>
        <w:t xml:space="preserve"> </w:t>
      </w:r>
      <w:r w:rsidR="009F3ADE">
        <w:t>3</w:t>
      </w:r>
      <w:r w:rsidR="00E54952">
        <w:t xml:space="preserve">5.000. Ft/ db mosdó, kád, </w:t>
      </w:r>
    </w:p>
    <w:p w14:paraId="376B5163" w14:textId="296CE1A2" w:rsidR="005C35D1" w:rsidRDefault="00000000">
      <w:pPr>
        <w:spacing w:before="160"/>
        <w:ind w:left="140"/>
        <w:rPr>
          <w:b/>
        </w:rPr>
      </w:pPr>
      <w:r>
        <w:rPr>
          <w:u w:val="single"/>
        </w:rPr>
        <w:t>Kád:</w:t>
      </w:r>
      <w:r>
        <w:rPr>
          <w:spacing w:val="-2"/>
          <w:u w:val="single"/>
        </w:rPr>
        <w:t xml:space="preserve"> </w:t>
      </w:r>
      <w:r>
        <w:rPr>
          <w:b/>
        </w:rPr>
        <w:t>nettó</w:t>
      </w:r>
      <w:r>
        <w:rPr>
          <w:b/>
          <w:spacing w:val="-2"/>
        </w:rPr>
        <w:t xml:space="preserve"> </w:t>
      </w:r>
      <w:r w:rsidR="00E54952">
        <w:rPr>
          <w:b/>
        </w:rPr>
        <w:t>100</w:t>
      </w:r>
      <w:r>
        <w:rPr>
          <w:b/>
          <w:spacing w:val="-3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Ft/db.</w:t>
      </w:r>
    </w:p>
    <w:p w14:paraId="2B1E1038" w14:textId="6DBF68E6" w:rsidR="005C35D1" w:rsidRDefault="00000000">
      <w:pPr>
        <w:spacing w:before="182" w:line="259" w:lineRule="auto"/>
        <w:ind w:left="140" w:right="222"/>
        <w:rPr>
          <w:b/>
        </w:rPr>
      </w:pPr>
      <w:r>
        <w:rPr>
          <w:u w:val="single"/>
        </w:rPr>
        <w:t>Wc –</w:t>
      </w:r>
      <w:r>
        <w:rPr>
          <w:spacing w:val="-2"/>
          <w:u w:val="single"/>
        </w:rPr>
        <w:t xml:space="preserve"> </w:t>
      </w:r>
      <w:r>
        <w:rPr>
          <w:u w:val="single"/>
        </w:rPr>
        <w:t>beépített</w:t>
      </w:r>
      <w:r>
        <w:rPr>
          <w:spacing w:val="-1"/>
          <w:u w:val="single"/>
        </w:rPr>
        <w:t xml:space="preserve"> </w:t>
      </w:r>
      <w:r>
        <w:rPr>
          <w:u w:val="single"/>
        </w:rPr>
        <w:t>függő</w:t>
      </w:r>
      <w:r>
        <w:rPr>
          <w:spacing w:val="-3"/>
          <w:u w:val="single"/>
        </w:rPr>
        <w:t xml:space="preserve"> </w:t>
      </w:r>
      <w:r>
        <w:rPr>
          <w:u w:val="single"/>
        </w:rPr>
        <w:t>wc</w:t>
      </w:r>
      <w:r>
        <w:rPr>
          <w:spacing w:val="-5"/>
          <w:u w:val="single"/>
        </w:rPr>
        <w:t xml:space="preserve"> </w:t>
      </w:r>
      <w:r>
        <w:rPr>
          <w:u w:val="single"/>
        </w:rPr>
        <w:t>csészével :</w:t>
      </w:r>
      <w:r>
        <w:rPr>
          <w:spacing w:val="40"/>
        </w:rPr>
        <w:t xml:space="preserve"> </w:t>
      </w:r>
      <w:r w:rsidR="00E54952">
        <w:rPr>
          <w:b/>
        </w:rPr>
        <w:t>Geberit vagy Grohe</w:t>
      </w:r>
      <w:r>
        <w:rPr>
          <w:b/>
          <w:spacing w:val="-8"/>
        </w:rPr>
        <w:t xml:space="preserve"> </w:t>
      </w:r>
      <w:r>
        <w:rPr>
          <w:b/>
        </w:rPr>
        <w:t>beépíthető</w:t>
      </w:r>
      <w:r>
        <w:rPr>
          <w:b/>
          <w:spacing w:val="-1"/>
        </w:rPr>
        <w:t xml:space="preserve"> </w:t>
      </w:r>
      <w:r>
        <w:rPr>
          <w:b/>
        </w:rPr>
        <w:t>falon</w:t>
      </w:r>
      <w:r>
        <w:rPr>
          <w:b/>
          <w:spacing w:val="-1"/>
        </w:rPr>
        <w:t xml:space="preserve"> </w:t>
      </w:r>
      <w:r>
        <w:rPr>
          <w:b/>
        </w:rPr>
        <w:t>belüli</w:t>
      </w:r>
      <w:r>
        <w:rPr>
          <w:b/>
          <w:spacing w:val="-2"/>
        </w:rPr>
        <w:t xml:space="preserve"> </w:t>
      </w:r>
      <w:r>
        <w:rPr>
          <w:b/>
        </w:rPr>
        <w:t>wc szerkezet-függő</w:t>
      </w:r>
      <w:r>
        <w:rPr>
          <w:b/>
          <w:spacing w:val="-6"/>
        </w:rPr>
        <w:t xml:space="preserve"> </w:t>
      </w:r>
      <w:r>
        <w:rPr>
          <w:b/>
        </w:rPr>
        <w:t xml:space="preserve">wc-vel ami : szerkezet + függő wc + nyomógomb </w:t>
      </w:r>
      <w:r w:rsidR="00E54952">
        <w:rPr>
          <w:b/>
        </w:rPr>
        <w:t>bruttó 150.</w:t>
      </w:r>
      <w:r>
        <w:rPr>
          <w:b/>
        </w:rPr>
        <w:t xml:space="preserve"> 000 Ft ( wc tető nélkül )</w:t>
      </w:r>
    </w:p>
    <w:p w14:paraId="3B60F23C" w14:textId="165A69D7" w:rsidR="005C35D1" w:rsidRDefault="00000000">
      <w:pPr>
        <w:spacing w:before="160" w:line="259" w:lineRule="auto"/>
        <w:ind w:left="140"/>
        <w:rPr>
          <w:b/>
        </w:rPr>
      </w:pPr>
      <w:r>
        <w:rPr>
          <w:u w:val="single"/>
        </w:rPr>
        <w:t>Belső</w:t>
      </w:r>
      <w:r>
        <w:rPr>
          <w:spacing w:val="-3"/>
          <w:u w:val="single"/>
        </w:rPr>
        <w:t xml:space="preserve"> </w:t>
      </w:r>
      <w:r>
        <w:rPr>
          <w:u w:val="single"/>
        </w:rPr>
        <w:t>falfestés</w:t>
      </w:r>
      <w:r>
        <w:rPr>
          <w:spacing w:val="-2"/>
          <w:u w:val="single"/>
        </w:rPr>
        <w:t xml:space="preserve"> </w:t>
      </w:r>
      <w:r>
        <w:rPr>
          <w:u w:val="single"/>
        </w:rPr>
        <w:t>és</w:t>
      </w:r>
      <w:r>
        <w:rPr>
          <w:spacing w:val="-3"/>
          <w:u w:val="single"/>
        </w:rPr>
        <w:t xml:space="preserve"> </w:t>
      </w:r>
      <w:r>
        <w:rPr>
          <w:u w:val="single"/>
        </w:rPr>
        <w:t>nem</w:t>
      </w:r>
      <w:r>
        <w:rPr>
          <w:spacing w:val="-3"/>
          <w:u w:val="single"/>
        </w:rPr>
        <w:t xml:space="preserve"> </w:t>
      </w:r>
      <w:r>
        <w:rPr>
          <w:u w:val="single"/>
        </w:rPr>
        <w:t>tartó</w:t>
      </w:r>
      <w:r>
        <w:rPr>
          <w:spacing w:val="-3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3"/>
          <w:u w:val="single"/>
        </w:rPr>
        <w:t xml:space="preserve"> </w:t>
      </w:r>
      <w:r>
        <w:rPr>
          <w:u w:val="single"/>
        </w:rPr>
        <w:t>válaszfalak:</w:t>
      </w:r>
      <w:r>
        <w:rPr>
          <w:spacing w:val="-1"/>
        </w:rPr>
        <w:t xml:space="preserve"> </w:t>
      </w:r>
      <w:r>
        <w:rPr>
          <w:b/>
        </w:rPr>
        <w:t>diszperziós</w:t>
      </w:r>
      <w:r>
        <w:rPr>
          <w:b/>
          <w:spacing w:val="-1"/>
        </w:rPr>
        <w:t xml:space="preserve"> </w:t>
      </w:r>
      <w:r>
        <w:rPr>
          <w:b/>
        </w:rPr>
        <w:t>festés</w:t>
      </w:r>
      <w:r>
        <w:rPr>
          <w:b/>
          <w:spacing w:val="-1"/>
        </w:rPr>
        <w:t xml:space="preserve"> </w:t>
      </w:r>
      <w:r>
        <w:rPr>
          <w:b/>
        </w:rPr>
        <w:t>fehér</w:t>
      </w:r>
      <w:r>
        <w:rPr>
          <w:b/>
          <w:spacing w:val="-6"/>
        </w:rPr>
        <w:t xml:space="preserve"> </w:t>
      </w:r>
      <w:r>
        <w:rPr>
          <w:b/>
        </w:rPr>
        <w:t>színben,</w:t>
      </w:r>
      <w:r>
        <w:rPr>
          <w:b/>
          <w:spacing w:val="-4"/>
        </w:rPr>
        <w:t xml:space="preserve"> </w:t>
      </w:r>
      <w:r>
        <w:rPr>
          <w:b/>
        </w:rPr>
        <w:t>szigetelt</w:t>
      </w:r>
      <w:r>
        <w:rPr>
          <w:b/>
          <w:spacing w:val="-2"/>
        </w:rPr>
        <w:t xml:space="preserve"> </w:t>
      </w:r>
      <w:r>
        <w:rPr>
          <w:b/>
        </w:rPr>
        <w:t>gipszkarton</w:t>
      </w:r>
      <w:r w:rsidR="009F3ADE">
        <w:rPr>
          <w:b/>
        </w:rPr>
        <w:t xml:space="preserve"> álmennyezet, </w:t>
      </w:r>
      <w:r>
        <w:rPr>
          <w:b/>
        </w:rPr>
        <w:t xml:space="preserve"> falazat festve</w:t>
      </w:r>
      <w:r w:rsidR="003A558C">
        <w:rPr>
          <w:b/>
        </w:rPr>
        <w:t>.</w:t>
      </w:r>
    </w:p>
    <w:p w14:paraId="4AB24076" w14:textId="2BAA305E" w:rsidR="003A558C" w:rsidRDefault="003A558C" w:rsidP="003A558C">
      <w:pPr>
        <w:spacing w:before="160" w:line="259" w:lineRule="auto"/>
        <w:ind w:left="140"/>
        <w:jc w:val="center"/>
        <w:rPr>
          <w:u w:val="single"/>
        </w:rPr>
      </w:pPr>
      <w:r>
        <w:rPr>
          <w:u w:val="single"/>
        </w:rPr>
        <w:t>Minden lakóegység külön mérőkkel felszerelt (víz, gáz, elektromos,) Minden lakóegység külön helyrajzszámon szerepel</w:t>
      </w:r>
    </w:p>
    <w:p w14:paraId="557DA7CA" w14:textId="77777777" w:rsidR="003A558C" w:rsidRDefault="003A558C">
      <w:pPr>
        <w:spacing w:before="160" w:line="259" w:lineRule="auto"/>
        <w:ind w:left="140"/>
        <w:rPr>
          <w:u w:val="single"/>
        </w:rPr>
      </w:pPr>
    </w:p>
    <w:p w14:paraId="5262449A" w14:textId="5B92A986" w:rsidR="00930216" w:rsidRPr="00905C33" w:rsidRDefault="003A558C" w:rsidP="00905C33">
      <w:pPr>
        <w:spacing w:before="160" w:line="259" w:lineRule="auto"/>
        <w:ind w:left="140"/>
        <w:rPr>
          <w:u w:val="single"/>
        </w:rPr>
      </w:pPr>
      <w:r>
        <w:rPr>
          <w:u w:val="single"/>
        </w:rPr>
        <w:t>A lakóegységek beüzemelve kerülnek átadásra. A lakások nem tartalmaznak konyhabútort, beépített konyhai gépeket, lámpákat.</w:t>
      </w:r>
    </w:p>
    <w:p w14:paraId="1139C2FD" w14:textId="5F0F4856" w:rsidR="005C35D1" w:rsidRDefault="00930216" w:rsidP="003A558C">
      <w:pPr>
        <w:spacing w:before="160" w:line="259" w:lineRule="auto"/>
        <w:ind w:left="140"/>
        <w:rPr>
          <w:b/>
        </w:rPr>
      </w:pPr>
      <w:r>
        <w:rPr>
          <w:b/>
        </w:rPr>
        <w:lastRenderedPageBreak/>
        <w:t xml:space="preserve">Ingatlan és kültér: a lakásokhoz bevezető út, útalappal ellátott térburkolásra előkészített, NEM burkolt. </w:t>
      </w:r>
      <w:r w:rsidR="00905C33">
        <w:rPr>
          <w:b/>
        </w:rPr>
        <w:t>Az U</w:t>
      </w:r>
      <w:r>
        <w:rPr>
          <w:b/>
        </w:rPr>
        <w:t xml:space="preserve">tca fő kerítése nyíló kapuval és kiskapuval, készül, kézi nyitással. Az ingatlan területén a lakásokhoz </w:t>
      </w:r>
      <w:r w:rsidR="00905C33">
        <w:rPr>
          <w:b/>
        </w:rPr>
        <w:t xml:space="preserve">a gépkocsi felhajtó, járda, bejárat térkővel burkolt. </w:t>
      </w:r>
      <w:r>
        <w:rPr>
          <w:b/>
        </w:rPr>
        <w:t>A lakásokhoz kapcsolódó saját kert részek elválasztása a vevők feladata. A parkosítás, fásítás a vevők feladata.</w:t>
      </w:r>
    </w:p>
    <w:p w14:paraId="184C1895" w14:textId="77777777" w:rsidR="00E25B07" w:rsidRDefault="00E25B07" w:rsidP="003A558C">
      <w:pPr>
        <w:spacing w:before="160" w:line="259" w:lineRule="auto"/>
        <w:ind w:left="140"/>
        <w:rPr>
          <w:b/>
        </w:rPr>
      </w:pPr>
    </w:p>
    <w:p w14:paraId="54A3405E" w14:textId="59E690E7" w:rsidR="00E25B07" w:rsidRDefault="00E25B07" w:rsidP="003A558C">
      <w:pPr>
        <w:spacing w:before="160" w:line="259" w:lineRule="auto"/>
        <w:ind w:left="140"/>
        <w:rPr>
          <w:b/>
        </w:rPr>
      </w:pPr>
      <w:r>
        <w:rPr>
          <w:b/>
        </w:rPr>
        <w:t xml:space="preserve">Minden egyéb </w:t>
      </w:r>
      <w:r w:rsidR="00473477">
        <w:rPr>
          <w:b/>
        </w:rPr>
        <w:t xml:space="preserve">a műszaki tartalomtól </w:t>
      </w:r>
      <w:r>
        <w:rPr>
          <w:b/>
        </w:rPr>
        <w:t>eltérő kérést</w:t>
      </w:r>
      <w:r w:rsidR="00473477">
        <w:rPr>
          <w:b/>
        </w:rPr>
        <w:t>,</w:t>
      </w:r>
      <w:r>
        <w:rPr>
          <w:b/>
        </w:rPr>
        <w:t xml:space="preserve"> egyedileg árazunk partnereink részére. A teljesség igénye nélkül: Kertépítés, parkosítás, öntözőrendszer, filagória, kerti konyha, medence, szauna, kerti wellness, okos otthon, hőszivattyú, napelem rendszer, </w:t>
      </w:r>
    </w:p>
    <w:p w14:paraId="5A9E0F9B" w14:textId="77777777" w:rsidR="003A558C" w:rsidRDefault="003A558C" w:rsidP="009F3ADE">
      <w:pPr>
        <w:tabs>
          <w:tab w:val="left" w:pos="5802"/>
        </w:tabs>
        <w:spacing w:before="161"/>
        <w:ind w:right="174"/>
        <w:rPr>
          <w:b/>
          <w:bCs/>
          <w:iCs/>
        </w:rPr>
      </w:pPr>
    </w:p>
    <w:p w14:paraId="4924ECA1" w14:textId="13A38B28" w:rsidR="009F3ADE" w:rsidRDefault="009F3ADE" w:rsidP="00E25B07">
      <w:pPr>
        <w:tabs>
          <w:tab w:val="left" w:pos="5802"/>
        </w:tabs>
        <w:spacing w:before="161"/>
        <w:ind w:right="174"/>
        <w:jc w:val="center"/>
        <w:rPr>
          <w:b/>
          <w:bCs/>
          <w:iCs/>
        </w:rPr>
      </w:pPr>
      <w:r>
        <w:rPr>
          <w:b/>
          <w:bCs/>
          <w:iCs/>
        </w:rPr>
        <w:t>Lakóegység:</w:t>
      </w:r>
      <w:r w:rsidR="003A558C">
        <w:rPr>
          <w:b/>
          <w:bCs/>
          <w:iCs/>
        </w:rPr>
        <w:t xml:space="preserve"> Az eladó</w:t>
      </w:r>
      <w:r w:rsidR="00251347">
        <w:rPr>
          <w:b/>
          <w:bCs/>
          <w:iCs/>
        </w:rPr>
        <w:t>/beruházó</w:t>
      </w:r>
      <w:r w:rsidR="003A558C">
        <w:rPr>
          <w:b/>
          <w:bCs/>
          <w:iCs/>
        </w:rPr>
        <w:t xml:space="preserve"> fenntartja magának a </w:t>
      </w:r>
      <w:r w:rsidR="00E25B07">
        <w:rPr>
          <w:b/>
          <w:bCs/>
          <w:iCs/>
        </w:rPr>
        <w:t>jogot,</w:t>
      </w:r>
      <w:r w:rsidR="003A558C">
        <w:rPr>
          <w:b/>
          <w:bCs/>
          <w:iCs/>
        </w:rPr>
        <w:t xml:space="preserve"> hogy minden lakóegység esetében egyedi árazást alkalmazzon! Kérjük minden esetben egyeztessen a </w:t>
      </w:r>
      <w:r w:rsidR="00E25B07">
        <w:rPr>
          <w:b/>
          <w:bCs/>
          <w:iCs/>
        </w:rPr>
        <w:t>vételár</w:t>
      </w:r>
      <w:r w:rsidR="00F03788">
        <w:rPr>
          <w:b/>
          <w:bCs/>
          <w:iCs/>
        </w:rPr>
        <w:t xml:space="preserve"> aktuális összegéről.</w:t>
      </w:r>
    </w:p>
    <w:p w14:paraId="0319ED24" w14:textId="77777777" w:rsidR="00905C33" w:rsidRDefault="00905C33" w:rsidP="00175B25">
      <w:pPr>
        <w:tabs>
          <w:tab w:val="left" w:pos="5802"/>
        </w:tabs>
        <w:spacing w:before="161"/>
        <w:ind w:right="174"/>
        <w:jc w:val="center"/>
        <w:rPr>
          <w:i/>
          <w:sz w:val="24"/>
          <w:szCs w:val="24"/>
        </w:rPr>
      </w:pPr>
    </w:p>
    <w:p w14:paraId="797AE46E" w14:textId="43392A56" w:rsidR="00175B25" w:rsidRDefault="00175B25" w:rsidP="00175B25">
      <w:pPr>
        <w:tabs>
          <w:tab w:val="left" w:pos="5802"/>
        </w:tabs>
        <w:spacing w:before="161"/>
        <w:ind w:right="174"/>
        <w:jc w:val="center"/>
        <w:rPr>
          <w:i/>
          <w:sz w:val="24"/>
          <w:szCs w:val="24"/>
        </w:rPr>
      </w:pPr>
      <w:r w:rsidRPr="00175B25">
        <w:rPr>
          <w:i/>
          <w:sz w:val="24"/>
          <w:szCs w:val="24"/>
        </w:rPr>
        <w:t>Fizetési ütemezés</w:t>
      </w:r>
      <w:r w:rsidR="006943E1">
        <w:rPr>
          <w:i/>
          <w:sz w:val="24"/>
          <w:szCs w:val="24"/>
        </w:rPr>
        <w:t xml:space="preserve"> </w:t>
      </w:r>
    </w:p>
    <w:p w14:paraId="142BFB59" w14:textId="77777777" w:rsid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</w:p>
    <w:p w14:paraId="66831B36" w14:textId="5B823BEE" w:rsid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>
        <w:rPr>
          <w:i/>
          <w:sz w:val="24"/>
          <w:szCs w:val="24"/>
        </w:rPr>
        <w:t>Egyedileg, vevőinkre szabva.</w:t>
      </w:r>
    </w:p>
    <w:p w14:paraId="7E306E34" w14:textId="77777777" w:rsid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</w:p>
    <w:p w14:paraId="6DED74FD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Hitelezési partnerünk</w:t>
      </w:r>
    </w:p>
    <w:p w14:paraId="49ADF84F" w14:textId="77777777" w:rsid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Hitelezési folyamatokban együttműködő partnereink az </w:t>
      </w:r>
      <w:r w:rsidRPr="00E25B07">
        <w:rPr>
          <w:b/>
          <w:bCs/>
          <w:i/>
          <w:sz w:val="24"/>
          <w:szCs w:val="24"/>
        </w:rPr>
        <w:t>OVB</w:t>
      </w:r>
      <w:r w:rsidRPr="00E25B07">
        <w:rPr>
          <w:i/>
          <w:sz w:val="24"/>
          <w:szCs w:val="24"/>
        </w:rPr>
        <w:t> felkészült tanácsadói.</w:t>
      </w:r>
      <w:r w:rsidRPr="00E25B07">
        <w:rPr>
          <w:i/>
          <w:sz w:val="24"/>
          <w:szCs w:val="24"/>
        </w:rPr>
        <w:br/>
      </w:r>
      <w:r w:rsidRPr="00E25B07">
        <w:rPr>
          <w:i/>
          <w:sz w:val="24"/>
          <w:szCs w:val="24"/>
        </w:rPr>
        <w:br/>
        <w:t>Az OVB teljeskörű közvetítői szolgáltatást nyújt ügyfelei részére a pénzügyi szektor legmeghatározóbb szereplőivel együttműködve, ennek eredményeképpen évtizedek óta a tanácsadói szakma élmezőnyébe tartoznak Magyarországon. Az OVB magasan képzett és elkötelezett munkatársai segítségével minden bizonnyal megtalálhatja az Önnek leginkább kedvező finanszírozási konstrukciót.</w:t>
      </w:r>
      <w:r w:rsidRPr="00E25B07">
        <w:rPr>
          <w:i/>
          <w:sz w:val="24"/>
          <w:szCs w:val="24"/>
        </w:rPr>
        <w:br/>
      </w:r>
      <w:r w:rsidRPr="00E25B07">
        <w:rPr>
          <w:i/>
          <w:sz w:val="24"/>
          <w:szCs w:val="24"/>
        </w:rPr>
        <w:br/>
        <w:t>Forduljon hozzánk bizalommal a lenti elérhetőségeink egyikén, amennyiben részletes tájékoztatást szeretne kapni a személyre szabottan elérhető finanszírozási lehetőségekről!</w:t>
      </w:r>
    </w:p>
    <w:p w14:paraId="2EA95F50" w14:textId="77777777" w:rsid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</w:p>
    <w:p w14:paraId="21AD7FCB" w14:textId="77777777" w:rsid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 xml:space="preserve">FIX 3% lakáshitel első lakásra: </w:t>
      </w:r>
    </w:p>
    <w:p w14:paraId="2DF5A119" w14:textId="5355F477" w:rsid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Otthon Start program</w:t>
      </w:r>
    </w:p>
    <w:p w14:paraId="74763832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</w:p>
    <w:p w14:paraId="69AB8D8E" w14:textId="7D8CF8C1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Akár 50 millió forintot is kaphat első lakásvásárlásra vagy építésre</w:t>
      </w:r>
    </w:p>
    <w:p w14:paraId="75626E34" w14:textId="03F76579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Házasság és gyermekvállalás nélkül igényelhető, egyedül is felvehet</w:t>
      </w:r>
      <w:r>
        <w:rPr>
          <w:b/>
          <w:bCs/>
          <w:i/>
          <w:sz w:val="24"/>
          <w:szCs w:val="24"/>
        </w:rPr>
        <w:t>ő</w:t>
      </w:r>
    </w:p>
    <w:p w14:paraId="5C2AB720" w14:textId="41188978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Minden hónapban ugyanannyi</w:t>
      </w:r>
      <w:r>
        <w:rPr>
          <w:b/>
          <w:bCs/>
          <w:i/>
          <w:sz w:val="24"/>
          <w:szCs w:val="24"/>
        </w:rPr>
        <w:t xml:space="preserve"> a </w:t>
      </w:r>
      <w:r w:rsidRPr="00E25B07">
        <w:rPr>
          <w:b/>
          <w:bCs/>
          <w:i/>
          <w:sz w:val="24"/>
          <w:szCs w:val="24"/>
        </w:rPr>
        <w:t xml:space="preserve"> törleszt</w:t>
      </w:r>
      <w:r>
        <w:rPr>
          <w:b/>
          <w:bCs/>
          <w:i/>
          <w:sz w:val="24"/>
          <w:szCs w:val="24"/>
        </w:rPr>
        <w:t>ő</w:t>
      </w:r>
      <w:r w:rsidRPr="00E25B07">
        <w:rPr>
          <w:b/>
          <w:bCs/>
          <w:i/>
          <w:sz w:val="24"/>
          <w:szCs w:val="24"/>
        </w:rPr>
        <w:t xml:space="preserve"> (fix részlet)</w:t>
      </w:r>
    </w:p>
    <w:p w14:paraId="6DC038BD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Elég hozzá akár 10% önerő</w:t>
      </w:r>
    </w:p>
    <w:p w14:paraId="024D9D01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Más támogatásokkal is kombinálható (CSOK Plusz, Falusi CSOK)</w:t>
      </w:r>
    </w:p>
    <w:p w14:paraId="3115103B" w14:textId="57F1C93A" w:rsid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</w:p>
    <w:p w14:paraId="40D88B79" w14:textId="77777777" w:rsidR="00B151BD" w:rsidRDefault="00B151BD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</w:p>
    <w:p w14:paraId="0B6140A6" w14:textId="77777777" w:rsidR="00B151BD" w:rsidRPr="00E25B07" w:rsidRDefault="00B151BD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</w:p>
    <w:p w14:paraId="321BC5D8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lastRenderedPageBreak/>
        <w:t>CSOK Plusz</w:t>
      </w:r>
    </w:p>
    <w:p w14:paraId="6E81AC75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A CSOK Plusz* 2024-től az otthonteremtési támogatások egyik legújabb eleme, amely egy kamattámogatott hitelkonstrukció, maximum 3%-os kamattal, 10-25 év futamidővel. Az igénylők a meglévő és vállalt gyermekeik számától függően akár 15-50 millió Ft igénylésére is jogosultak lehetnek. Az igénylők a banki szerződéskötést követően megszülető második (és minden további) gyermek után 10 millió Ft elengedésére lehetnek jogosultak.</w:t>
      </w:r>
      <w:r w:rsidRPr="00E25B07">
        <w:rPr>
          <w:i/>
          <w:sz w:val="24"/>
          <w:szCs w:val="24"/>
        </w:rPr>
        <w:br/>
      </w:r>
      <w:r w:rsidRPr="00E25B07">
        <w:rPr>
          <w:i/>
          <w:sz w:val="24"/>
          <w:szCs w:val="24"/>
        </w:rPr>
        <w:br/>
      </w:r>
      <w:r w:rsidRPr="00E25B07">
        <w:rPr>
          <w:b/>
          <w:bCs/>
          <w:i/>
          <w:sz w:val="24"/>
          <w:szCs w:val="24"/>
        </w:rPr>
        <w:t>CSOK Plusz igénylése esetén a vásárlás illetékmentes.</w:t>
      </w:r>
      <w:r w:rsidRPr="00E25B07">
        <w:rPr>
          <w:i/>
          <w:sz w:val="24"/>
          <w:szCs w:val="24"/>
        </w:rPr>
        <w:br/>
      </w:r>
      <w:r w:rsidRPr="00E25B07">
        <w:rPr>
          <w:i/>
          <w:sz w:val="24"/>
          <w:szCs w:val="24"/>
        </w:rPr>
        <w:br/>
        <w:t>*Az oldalon megjelenített pénzügyi termékekre vonatkozó adatok és termékinformációk önmagukban nem minősülnek a polgári törvénykönyv szerinti ajánlatnak. A táblázatban szereplő egyes piaci termék adatok kizárólag tájékoztató jellegűek, szerződéskötési kötelezettséget egyik fél részére sem jelentenek (különös tekintettel arra, hogy a pénzintézetek nem szükségszerűen kötelezettek kölcsönnyújtásra), az egyedi kamatkedvezmények elérésének bankonként különböző feltételei vannak, melyeket teljesíteni kell, továbbá minden hiteligénylést részletes banki hitelbírálat előz meg, melynek eredménye negatív is lehet.</w:t>
      </w:r>
    </w:p>
    <w:p w14:paraId="7FC1FF28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5%-os lakásáfa</w:t>
      </w:r>
    </w:p>
    <w:p w14:paraId="5066AF12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2021 január 1-től a kész új lakást vásárlóknak a korábbi 27% helyett csupán 5% ÁFA-t kell fizetniük.</w:t>
      </w:r>
      <w:r w:rsidRPr="00E25B07">
        <w:rPr>
          <w:i/>
          <w:sz w:val="24"/>
          <w:szCs w:val="24"/>
        </w:rPr>
        <w:br/>
      </w:r>
      <w:r w:rsidRPr="00E25B07">
        <w:rPr>
          <w:i/>
          <w:sz w:val="24"/>
          <w:szCs w:val="24"/>
        </w:rPr>
        <w:br/>
        <w:t>A kedvezményes ÁFA-kulcs a 150 m²-nél kisebb alapterületű lakásokra érvényes és nem vonatkozik az üzlethelységekre.</w:t>
      </w:r>
    </w:p>
    <w:p w14:paraId="0E572407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Babaváró támogatás</w:t>
      </w:r>
    </w:p>
    <w:p w14:paraId="400DD5E4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Babaváró hitelt* fiatal házaspárok igényelhetik, ahol a feleség még nem töltötte be 30. életévét. A felvehető hitelősszeg 2024-től 11 millió forint, maximum 20 éves futamidőre, az induló havi törlesztőrészlet nem haladhatja meg a havi 51 ezer forintot.</w:t>
      </w:r>
      <w:r w:rsidRPr="00E25B07">
        <w:rPr>
          <w:i/>
          <w:sz w:val="24"/>
          <w:szCs w:val="24"/>
        </w:rPr>
        <w:br/>
      </w:r>
      <w:r w:rsidRPr="00E25B07">
        <w:rPr>
          <w:i/>
          <w:sz w:val="24"/>
          <w:szCs w:val="24"/>
        </w:rPr>
        <w:br/>
        <w:t>Amennyiben gyermek születik az első 5 évben, a hitel a futamidő végéig kamatmentes lesz, valamint a törlesztést 3 évre fel lehet függeszteni. Második gyermek születésekor újabb 3 évre szüneteltethető a törlesztés és a fennálló tőketartozás 30%-a elengedésre kerül. Harmadik gyermeknél a fennálló teljes tőketartozást elengedik.</w:t>
      </w:r>
      <w:r w:rsidRPr="00E25B07">
        <w:rPr>
          <w:i/>
          <w:sz w:val="24"/>
          <w:szCs w:val="24"/>
        </w:rPr>
        <w:br/>
      </w:r>
      <w:r w:rsidRPr="00E25B07">
        <w:rPr>
          <w:i/>
          <w:sz w:val="24"/>
          <w:szCs w:val="24"/>
        </w:rPr>
        <w:br/>
        <w:t>*Az oldalon megjelenített pénzügyi termékekre vonatkozó adatok és termékinformációk önmagukban nem minősülnek a polgári törvénykönyv szerinti ajánlatnak. A táblázatban szereplő egyes piaci termék adatok kizárólag tájékoztató jellegűek, szerződéskötési kötelezettséget egyik fél részére sem jelentenek (különös tekintettel arra, hogy a pénzintézetek nem szükségszerűen kötelezettek kölcsönnyújtásra), az egyedi kamatkedvezmények elérésének bankonként különböző feltételei vannak, melyeket teljesíteni kell, továbbá minden hiteligénylést részletes banki hitelbírálat előz meg, melynek eredménye negatív is lehet.</w:t>
      </w:r>
    </w:p>
    <w:p w14:paraId="6DD37241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b/>
          <w:bCs/>
          <w:i/>
          <w:sz w:val="24"/>
          <w:szCs w:val="24"/>
        </w:rPr>
      </w:pPr>
      <w:r w:rsidRPr="00E25B07">
        <w:rPr>
          <w:b/>
          <w:bCs/>
          <w:i/>
          <w:sz w:val="24"/>
          <w:szCs w:val="24"/>
        </w:rPr>
        <w:t>Hitelügyintézési folyamat</w:t>
      </w:r>
    </w:p>
    <w:p w14:paraId="63D30D10" w14:textId="77777777" w:rsidR="00E25B07" w:rsidRPr="00E25B07" w:rsidRDefault="00E25B07" w:rsidP="00E25B07">
      <w:pPr>
        <w:numPr>
          <w:ilvl w:val="0"/>
          <w:numId w:val="3"/>
        </w:num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Egyedi igényfelmérési folyamat, a szükséges hitelösszeg megállapítása</w:t>
      </w:r>
    </w:p>
    <w:p w14:paraId="32A91CEB" w14:textId="77777777" w:rsidR="00E25B07" w:rsidRPr="00E25B07" w:rsidRDefault="00E25B07" w:rsidP="00E25B07">
      <w:pPr>
        <w:numPr>
          <w:ilvl w:val="0"/>
          <w:numId w:val="3"/>
        </w:num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Személyre szabott pénzügyi tervezet összeállítása, egyedi banki kedvezményekkel</w:t>
      </w:r>
    </w:p>
    <w:p w14:paraId="1CC731C0" w14:textId="77777777" w:rsidR="00E25B07" w:rsidRPr="00E25B07" w:rsidRDefault="00E25B07" w:rsidP="00E25B07">
      <w:pPr>
        <w:numPr>
          <w:ilvl w:val="0"/>
          <w:numId w:val="3"/>
        </w:num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Előzetes hitelképesség vizsgálat banki partnereinknél</w:t>
      </w:r>
    </w:p>
    <w:p w14:paraId="20CC4614" w14:textId="77777777" w:rsidR="00E25B07" w:rsidRPr="00E25B07" w:rsidRDefault="00E25B07" w:rsidP="00E25B07">
      <w:pPr>
        <w:numPr>
          <w:ilvl w:val="0"/>
          <w:numId w:val="3"/>
        </w:num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Támogatás a szükséges dokumentumok beszerzésében</w:t>
      </w:r>
    </w:p>
    <w:p w14:paraId="57A93100" w14:textId="77777777" w:rsidR="00E25B07" w:rsidRPr="00E25B07" w:rsidRDefault="00E25B07" w:rsidP="00E25B07">
      <w:pPr>
        <w:numPr>
          <w:ilvl w:val="0"/>
          <w:numId w:val="3"/>
        </w:num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lastRenderedPageBreak/>
        <w:t>Teljes hitel- és támogatás igénylési nyomtatványcsomag előkészítése és összeállítása</w:t>
      </w:r>
    </w:p>
    <w:p w14:paraId="10C9AEA3" w14:textId="77777777" w:rsidR="00E25B07" w:rsidRPr="00E25B07" w:rsidRDefault="00E25B07" w:rsidP="00E25B07">
      <w:pPr>
        <w:numPr>
          <w:ilvl w:val="0"/>
          <w:numId w:val="3"/>
        </w:num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Folyamatos tájékoztatás a hitelkérelem beadásától a folyósításig</w:t>
      </w:r>
    </w:p>
    <w:p w14:paraId="243D4A54" w14:textId="77777777" w:rsidR="00E25B07" w:rsidRPr="00E25B07" w:rsidRDefault="00E25B07" w:rsidP="00E25B07">
      <w:pPr>
        <w:numPr>
          <w:ilvl w:val="0"/>
          <w:numId w:val="3"/>
        </w:num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  <w:r w:rsidRPr="00E25B07">
        <w:rPr>
          <w:i/>
          <w:sz w:val="24"/>
          <w:szCs w:val="24"/>
        </w:rPr>
        <w:t>A hitel mellé személyre szabott biztosítási és megtakarítási tervezet készítése igény szerint</w:t>
      </w:r>
    </w:p>
    <w:p w14:paraId="5E594B4F" w14:textId="2ACFC0E9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  <w:r w:rsidRPr="00E25B07">
        <w:rPr>
          <w:i/>
          <w:noProof/>
          <w:sz w:val="16"/>
          <w:szCs w:val="16"/>
        </w:rPr>
        <w:drawing>
          <wp:inline distT="0" distB="0" distL="0" distR="0" wp14:anchorId="15A19ADE" wp14:editId="50BC7B82">
            <wp:extent cx="2857500" cy="1607820"/>
            <wp:effectExtent l="0" t="0" r="0" b="0"/>
            <wp:docPr id="1931367765" name="Kép 14" descr="A képen Grafika, Betűtípus, Grafikus tervezés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67765" name="Kép 14" descr="A képen Grafika, Betűtípus, Grafikus tervezés, emblém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B0AE4" w14:textId="2FB05AB4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  <w:r w:rsidRPr="00E25B07">
        <w:rPr>
          <w:i/>
          <w:noProof/>
          <w:sz w:val="16"/>
          <w:szCs w:val="16"/>
        </w:rPr>
        <w:drawing>
          <wp:inline distT="0" distB="0" distL="0" distR="0" wp14:anchorId="73BF004D" wp14:editId="5E4E3ABF">
            <wp:extent cx="2857500" cy="1181100"/>
            <wp:effectExtent l="0" t="0" r="0" b="0"/>
            <wp:docPr id="426433605" name="Kép 13" descr="A képen Betűtípus, Grafika, képernyőkép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33605" name="Kép 13" descr="A képen Betűtípus, Grafika, képernyőkép, emblém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D839B" w14:textId="7F466550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  <w:r w:rsidRPr="00E25B07">
        <w:rPr>
          <w:i/>
          <w:noProof/>
          <w:sz w:val="16"/>
          <w:szCs w:val="16"/>
        </w:rPr>
        <w:drawing>
          <wp:inline distT="0" distB="0" distL="0" distR="0" wp14:anchorId="017B7905" wp14:editId="7A30A899">
            <wp:extent cx="2857500" cy="731520"/>
            <wp:effectExtent l="0" t="0" r="0" b="0"/>
            <wp:docPr id="1986645797" name="Kép 12" descr="A képen Betűtípus, szimbólum, Grafika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45797" name="Kép 12" descr="A képen Betűtípus, szimbólum, Grafika, Grafikus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7C51" w14:textId="012616FC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  <w:r w:rsidRPr="00E25B07">
        <w:rPr>
          <w:i/>
          <w:noProof/>
          <w:sz w:val="16"/>
          <w:szCs w:val="16"/>
        </w:rPr>
        <w:drawing>
          <wp:inline distT="0" distB="0" distL="0" distR="0" wp14:anchorId="78DE6FC8" wp14:editId="37C0E60D">
            <wp:extent cx="2857500" cy="563880"/>
            <wp:effectExtent l="0" t="0" r="0" b="7620"/>
            <wp:docPr id="664236680" name="Kép 11" descr="A képen Kármin, Grafika, piros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36680" name="Kép 11" descr="A képen Kármin, Grafika, piros, képernyőkép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4134F" w14:textId="316E6190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  <w:r w:rsidRPr="00E25B07">
        <w:rPr>
          <w:i/>
          <w:noProof/>
          <w:sz w:val="16"/>
          <w:szCs w:val="16"/>
        </w:rPr>
        <w:drawing>
          <wp:inline distT="0" distB="0" distL="0" distR="0" wp14:anchorId="087349FE" wp14:editId="7E464CEC">
            <wp:extent cx="2857500" cy="1600200"/>
            <wp:effectExtent l="0" t="0" r="0" b="0"/>
            <wp:docPr id="1854886255" name="Kép 10" descr="A képen Betűtípus, Grafika, embléma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86255" name="Kép 10" descr="A képen Betűtípus, Grafika, embléma, Grafikus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760B" w14:textId="4AFA3260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  <w:r w:rsidRPr="00E25B07">
        <w:rPr>
          <w:i/>
          <w:noProof/>
          <w:sz w:val="16"/>
          <w:szCs w:val="16"/>
        </w:rPr>
        <w:lastRenderedPageBreak/>
        <w:drawing>
          <wp:inline distT="0" distB="0" distL="0" distR="0" wp14:anchorId="49EA375E" wp14:editId="6A01EF85">
            <wp:extent cx="2438400" cy="2438400"/>
            <wp:effectExtent l="0" t="0" r="0" b="0"/>
            <wp:docPr id="1115969967" name="Kép 9" descr="A képen Grafika, Grafikus tervezés, képernyőkép, kö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969967" name="Kép 9" descr="A képen Grafika, Grafikus tervezés, képernyőkép, kö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E749E" w14:textId="62F6A1CC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  <w:r w:rsidRPr="00E25B07">
        <w:rPr>
          <w:i/>
          <w:noProof/>
          <w:sz w:val="16"/>
          <w:szCs w:val="16"/>
        </w:rPr>
        <w:drawing>
          <wp:inline distT="0" distB="0" distL="0" distR="0" wp14:anchorId="395ADD6D" wp14:editId="674EAFD5">
            <wp:extent cx="2857500" cy="1943100"/>
            <wp:effectExtent l="0" t="0" r="0" b="0"/>
            <wp:docPr id="10137116" name="Kép 8" descr="A képen Betűtípus, Grafika, képernyőkép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116" name="Kép 8" descr="A képen Betűtípus, Grafika, képernyőkép, Grafikus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63F60" w14:textId="77777777" w:rsidR="00E25B07" w:rsidRPr="00E25B07" w:rsidRDefault="00E25B07" w:rsidP="00E25B07">
      <w:pPr>
        <w:tabs>
          <w:tab w:val="left" w:pos="5802"/>
        </w:tabs>
        <w:spacing w:before="161"/>
        <w:ind w:right="174"/>
        <w:rPr>
          <w:i/>
          <w:sz w:val="16"/>
          <w:szCs w:val="16"/>
        </w:rPr>
      </w:pPr>
    </w:p>
    <w:p w14:paraId="10EF5FC3" w14:textId="58A005CB" w:rsidR="00175B25" w:rsidRDefault="00175B25" w:rsidP="003A558C">
      <w:pPr>
        <w:tabs>
          <w:tab w:val="left" w:pos="5802"/>
        </w:tabs>
        <w:spacing w:before="161"/>
        <w:ind w:right="174"/>
        <w:rPr>
          <w:i/>
          <w:sz w:val="24"/>
          <w:szCs w:val="24"/>
        </w:rPr>
      </w:pPr>
    </w:p>
    <w:sectPr w:rsidR="00175B2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68F2"/>
    <w:multiLevelType w:val="hybridMultilevel"/>
    <w:tmpl w:val="E698E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1EC3"/>
    <w:multiLevelType w:val="multilevel"/>
    <w:tmpl w:val="8F4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81C39"/>
    <w:multiLevelType w:val="hybridMultilevel"/>
    <w:tmpl w:val="9ADA2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85904">
    <w:abstractNumId w:val="0"/>
  </w:num>
  <w:num w:numId="2" w16cid:durableId="2134251042">
    <w:abstractNumId w:val="2"/>
  </w:num>
  <w:num w:numId="3" w16cid:durableId="31695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D1"/>
    <w:rsid w:val="0001233D"/>
    <w:rsid w:val="00080866"/>
    <w:rsid w:val="00142EF8"/>
    <w:rsid w:val="00175B25"/>
    <w:rsid w:val="00251347"/>
    <w:rsid w:val="00310EF6"/>
    <w:rsid w:val="00362763"/>
    <w:rsid w:val="003967D6"/>
    <w:rsid w:val="003A558C"/>
    <w:rsid w:val="003D732A"/>
    <w:rsid w:val="00421D74"/>
    <w:rsid w:val="00451E2E"/>
    <w:rsid w:val="00473477"/>
    <w:rsid w:val="00522B2F"/>
    <w:rsid w:val="005C35D1"/>
    <w:rsid w:val="006928DB"/>
    <w:rsid w:val="006943E1"/>
    <w:rsid w:val="007F1A83"/>
    <w:rsid w:val="00905C33"/>
    <w:rsid w:val="00930216"/>
    <w:rsid w:val="009F3ADE"/>
    <w:rsid w:val="00A32DBB"/>
    <w:rsid w:val="00B151BD"/>
    <w:rsid w:val="00B37E9F"/>
    <w:rsid w:val="00B75289"/>
    <w:rsid w:val="00C67533"/>
    <w:rsid w:val="00CC1923"/>
    <w:rsid w:val="00D249AD"/>
    <w:rsid w:val="00DF224C"/>
    <w:rsid w:val="00E25B07"/>
    <w:rsid w:val="00E54952"/>
    <w:rsid w:val="00ED35A4"/>
    <w:rsid w:val="00F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FE49"/>
  <w15:docId w15:val="{8DBEEF5A-7F90-4E0F-902B-F31F1ECC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21"/>
      <w:ind w:left="140"/>
    </w:pPr>
    <w:rPr>
      <w:b/>
      <w:bCs/>
    </w:rPr>
  </w:style>
  <w:style w:type="paragraph" w:styleId="Cm">
    <w:name w:val="Title"/>
    <w:basedOn w:val="Norml"/>
    <w:uiPriority w:val="10"/>
    <w:qFormat/>
    <w:pPr>
      <w:spacing w:before="37"/>
      <w:ind w:right="5"/>
      <w:jc w:val="center"/>
    </w:pPr>
    <w:rPr>
      <w:b/>
      <w:bCs/>
      <w:i/>
      <w:iCs/>
      <w:sz w:val="24"/>
      <w:szCs w:val="24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940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Gyula</dc:creator>
  <cp:lastModifiedBy>Építés</cp:lastModifiedBy>
  <cp:revision>10</cp:revision>
  <cp:lastPrinted>2025-02-20T07:50:00Z</cp:lastPrinted>
  <dcterms:created xsi:type="dcterms:W3CDTF">2025-02-26T14:17:00Z</dcterms:created>
  <dcterms:modified xsi:type="dcterms:W3CDTF">2025-09-30T12:21:00Z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2024-12-09T00:00:00Z</vt:filetime>
  </property>
</Properties>
</file>